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0729" w14:textId="0BFE9A87" w:rsidR="00321157" w:rsidRDefault="004D7438" w:rsidP="00B200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BB044E">
        <w:rPr>
          <w:rFonts w:ascii="Arial" w:hAnsi="Arial" w:cs="Arial"/>
          <w:b/>
          <w:sz w:val="24"/>
          <w:szCs w:val="24"/>
        </w:rPr>
        <w:t>декабре</w:t>
      </w:r>
      <w:r w:rsidR="00F87AF2">
        <w:rPr>
          <w:rFonts w:ascii="Arial" w:hAnsi="Arial" w:cs="Arial"/>
          <w:b/>
          <w:sz w:val="24"/>
          <w:szCs w:val="24"/>
        </w:rPr>
        <w:t xml:space="preserve"> </w:t>
      </w:r>
      <w:r w:rsidR="00AA5D6D">
        <w:rPr>
          <w:rFonts w:ascii="Arial" w:hAnsi="Arial" w:cs="Arial"/>
          <w:b/>
          <w:sz w:val="24"/>
          <w:szCs w:val="24"/>
        </w:rPr>
        <w:t>2020 года</w:t>
      </w:r>
    </w:p>
    <w:p w14:paraId="15B88BA4" w14:textId="452E48D5" w:rsidR="00434C8E" w:rsidRDefault="00CD0DAE" w:rsidP="00B200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AA5B21">
        <w:rPr>
          <w:rFonts w:ascii="Arial" w:hAnsi="Arial" w:cs="Arial"/>
        </w:rPr>
        <w:t>декабре</w:t>
      </w:r>
      <w:r w:rsidR="007E5E81">
        <w:rPr>
          <w:rFonts w:ascii="Arial" w:hAnsi="Arial" w:cs="Arial"/>
        </w:rPr>
        <w:t xml:space="preserve"> 2020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D7485">
        <w:rPr>
          <w:rFonts w:ascii="Arial" w:hAnsi="Arial" w:cs="Arial"/>
          <w:b/>
        </w:rPr>
        <w:t>9</w:t>
      </w:r>
      <w:r w:rsidR="00861EDD">
        <w:rPr>
          <w:rFonts w:ascii="Arial" w:hAnsi="Arial" w:cs="Arial"/>
          <w:b/>
        </w:rPr>
        <w:t>86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F005E2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13A7D6D2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28E90318" w14:textId="567A792F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 xml:space="preserve">Вопросы </w:t>
      </w:r>
      <w:r w:rsidR="000069F6">
        <w:rPr>
          <w:rFonts w:ascii="Arial" w:hAnsi="Arial" w:cs="Arial"/>
        </w:rPr>
        <w:t>ЖКХ и благоустройства</w:t>
      </w:r>
    </w:p>
    <w:p w14:paraId="0E286A2B" w14:textId="2F76B8DA"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</w:t>
      </w:r>
      <w:r w:rsidR="00434C8E">
        <w:rPr>
          <w:rFonts w:ascii="Arial" w:hAnsi="Arial" w:cs="Arial"/>
        </w:rPr>
        <w:t>о</w:t>
      </w:r>
      <w:r w:rsidR="000069F6">
        <w:rPr>
          <w:rFonts w:ascii="Arial" w:hAnsi="Arial" w:cs="Arial"/>
        </w:rPr>
        <w:t>-имущественные</w:t>
      </w:r>
      <w:r>
        <w:rPr>
          <w:rFonts w:ascii="Arial" w:hAnsi="Arial" w:cs="Arial"/>
        </w:rPr>
        <w:t xml:space="preserve"> вопросы</w:t>
      </w:r>
    </w:p>
    <w:p w14:paraId="49455001" w14:textId="77777777" w:rsidR="00241647" w:rsidRDefault="00D04FBC" w:rsidP="00241647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241647">
        <w:rPr>
          <w:rFonts w:ascii="Arial" w:hAnsi="Arial" w:cs="Arial"/>
        </w:rPr>
        <w:t>транспорта и организации дорожного движения</w:t>
      </w:r>
    </w:p>
    <w:p w14:paraId="117C80A6" w14:textId="4348D78D" w:rsidR="00E91688" w:rsidRDefault="00FD77A5" w:rsidP="000B473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241647">
        <w:rPr>
          <w:rFonts w:ascii="Arial" w:hAnsi="Arial" w:cs="Arial"/>
        </w:rPr>
        <w:t xml:space="preserve">Вопросы капитального строительства </w:t>
      </w:r>
    </w:p>
    <w:p w14:paraId="5C821BC1" w14:textId="0987D8D0" w:rsidR="00ED1444" w:rsidRPr="00ED1444" w:rsidRDefault="00ED1444" w:rsidP="00EC7611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ED1444">
        <w:rPr>
          <w:rFonts w:ascii="Arial" w:hAnsi="Arial" w:cs="Arial"/>
        </w:rPr>
        <w:t xml:space="preserve">Вопросы </w:t>
      </w:r>
      <w:r w:rsidR="00861EDD">
        <w:rPr>
          <w:rFonts w:ascii="Arial" w:hAnsi="Arial" w:cs="Arial"/>
        </w:rPr>
        <w:t>социальной политики</w:t>
      </w:r>
    </w:p>
    <w:tbl>
      <w:tblPr>
        <w:tblW w:w="988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43"/>
        <w:gridCol w:w="1496"/>
        <w:gridCol w:w="45"/>
      </w:tblGrid>
      <w:tr w:rsidR="00E90471" w14:paraId="4D44D224" w14:textId="77777777" w:rsidTr="00F005E2">
        <w:trPr>
          <w:trHeight w:val="285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CBAD099" w14:textId="77777777" w:rsidR="00E90471" w:rsidRPr="00E90471" w:rsidRDefault="00E904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75E1267D" w14:textId="77777777" w:rsidR="00E90471" w:rsidRPr="00E90471" w:rsidRDefault="00E904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598E905B" w14:textId="77777777" w:rsidR="00E90471" w:rsidRDefault="00E90471"/>
        </w:tc>
      </w:tr>
      <w:tr w:rsidR="00E90471" w14:paraId="53AB044D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43E9C2C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0FA2FCE" w14:textId="52562F97" w:rsidR="00E90471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61E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2908DA4A" w14:textId="77777777" w:rsidR="00E90471" w:rsidRDefault="00E90471"/>
        </w:tc>
      </w:tr>
      <w:tr w:rsidR="00E90471" w14:paraId="528E86E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2D0D962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1307586" w14:textId="49ABE3E1" w:rsidR="00E90471" w:rsidRDefault="003D7485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61E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B193EE4" w14:textId="77777777" w:rsidR="00E90471" w:rsidRDefault="00E90471"/>
        </w:tc>
      </w:tr>
      <w:tr w:rsidR="00E90471" w14:paraId="40902FE1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0DAE5B9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8ABC9D1" w14:textId="71289545" w:rsidR="00E90471" w:rsidRDefault="00861E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16A2812" w14:textId="77777777" w:rsidR="00E90471" w:rsidRDefault="00E90471"/>
        </w:tc>
      </w:tr>
      <w:tr w:rsidR="00E90471" w14:paraId="235CB950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6898F72" w14:textId="77777777" w:rsidR="00E90471" w:rsidRDefault="00557A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50F7E9" w14:textId="7DAB3BA9" w:rsidR="00E90471" w:rsidRDefault="00861E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B4363E9" w14:textId="77777777" w:rsidR="00E90471" w:rsidRDefault="00E90471"/>
        </w:tc>
      </w:tr>
      <w:tr w:rsidR="006665E2" w14:paraId="4572FB19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F74E49F" w14:textId="0A8DBF42" w:rsidR="006665E2" w:rsidRDefault="006665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735B03" w14:textId="28190D99" w:rsidR="006665E2" w:rsidRDefault="00861E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14:paraId="7E776537" w14:textId="77777777" w:rsidR="006665E2" w:rsidRDefault="006665E2"/>
        </w:tc>
      </w:tr>
      <w:tr w:rsidR="00E90471" w14:paraId="5BBFDD3B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73DF978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F984E67" w14:textId="790FE138" w:rsidR="00E90471" w:rsidRDefault="00861E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104AF24" w14:textId="77777777" w:rsidR="00E90471" w:rsidRDefault="00E90471"/>
        </w:tc>
      </w:tr>
      <w:tr w:rsidR="00E90471" w14:paraId="5F69F69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667052C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3E5554" w14:textId="6AF89666" w:rsidR="00E90471" w:rsidRDefault="00861E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75C6A61" w14:textId="77777777" w:rsidR="00E90471" w:rsidRDefault="00E90471"/>
        </w:tc>
      </w:tr>
      <w:tr w:rsidR="00E90471" w14:paraId="3C7B1C3E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F26A3AC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61F7FF" w14:textId="322EDDC6" w:rsidR="00E90471" w:rsidRDefault="00861E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173A484" w14:textId="77777777" w:rsidR="00E90471" w:rsidRDefault="00E90471"/>
        </w:tc>
      </w:tr>
      <w:tr w:rsidR="005E5FB8" w14:paraId="663105A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F74A84" w14:textId="77777777" w:rsidR="005E5FB8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EF29B8A" w14:textId="29808D92" w:rsidR="005E5FB8" w:rsidRDefault="003D74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61E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3C460B6C" w14:textId="77777777" w:rsidR="005E5FB8" w:rsidRDefault="005E5FB8"/>
        </w:tc>
      </w:tr>
      <w:tr w:rsidR="00E90471" w14:paraId="4860B668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1B396B7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="00D73C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регулированию тарифно-ценовой и налоговой политики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1A9AE4A" w14:textId="199A0E49" w:rsidR="00E90471" w:rsidRDefault="00861EDD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590357C" w14:textId="77777777" w:rsidR="00E90471" w:rsidRDefault="00E90471"/>
        </w:tc>
      </w:tr>
      <w:tr w:rsidR="00F643A3" w14:paraId="03A45882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B2A8E9A" w14:textId="5A792599" w:rsidR="00F643A3" w:rsidRDefault="00F643A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AD8AAD" w14:textId="44D70FCA" w:rsidR="00F643A3" w:rsidRDefault="00861EDD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14:paraId="4EADFBDE" w14:textId="77777777" w:rsidR="00F643A3" w:rsidRDefault="00F643A3"/>
        </w:tc>
      </w:tr>
      <w:tr w:rsidR="002F2363" w14:paraId="1F88E366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E93BCAD" w14:textId="1E281AD1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«Мытищинское»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4BA112F" w14:textId="4D3E2D1A" w:rsidR="002F2363" w:rsidRDefault="00861EDD" w:rsidP="00F005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14:paraId="21323E33" w14:textId="77777777" w:rsidR="002F2363" w:rsidRDefault="002F2363"/>
        </w:tc>
      </w:tr>
      <w:tr w:rsidR="002F2363" w14:paraId="729554F3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6408715" w14:textId="19B726D2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«Пироговский»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8B0932" w14:textId="0D0D14A2" w:rsidR="002F2363" w:rsidRDefault="009E4B97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61E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14:paraId="34EC9177" w14:textId="77777777" w:rsidR="002F2363" w:rsidRDefault="002F2363"/>
        </w:tc>
      </w:tr>
      <w:tr w:rsidR="002F2363" w14:paraId="302F602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826353A" w14:textId="54D96EC4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«Федоскино»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D4E5C2" w14:textId="49CC35BF" w:rsidR="002F2363" w:rsidRDefault="006665E2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61E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E7F2EB3" w14:textId="77777777" w:rsidR="002F2363" w:rsidRDefault="002F2363"/>
        </w:tc>
      </w:tr>
      <w:tr w:rsidR="00E90471" w14:paraId="0B453D1C" w14:textId="77777777" w:rsidTr="00F005E2">
        <w:trPr>
          <w:trHeight w:val="252"/>
        </w:trPr>
        <w:tc>
          <w:tcPr>
            <w:tcW w:w="8343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B62981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1496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631C18" w14:textId="3609998C" w:rsidR="00E90471" w:rsidRDefault="00465D8B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3139A394" w14:textId="77777777" w:rsidR="00E90471" w:rsidRDefault="00E90471"/>
        </w:tc>
      </w:tr>
    </w:tbl>
    <w:p w14:paraId="7A461490" w14:textId="016E69CB" w:rsidR="00D03B42" w:rsidRDefault="00D03B42" w:rsidP="00D03B42">
      <w:pPr>
        <w:spacing w:line="360" w:lineRule="auto"/>
        <w:contextualSpacing/>
        <w:rPr>
          <w:rFonts w:ascii="Arial" w:hAnsi="Arial" w:cs="Arial"/>
          <w:i/>
        </w:rPr>
      </w:pPr>
    </w:p>
    <w:p w14:paraId="0F4952A0" w14:textId="5654F8F8" w:rsidR="00321157" w:rsidRDefault="009D0EA0" w:rsidP="00D03B42">
      <w:pPr>
        <w:spacing w:line="360" w:lineRule="auto"/>
        <w:contextualSpacing/>
        <w:rPr>
          <w:rFonts w:ascii="Arial" w:hAnsi="Arial" w:cs="Arial"/>
          <w:i/>
        </w:rPr>
      </w:pPr>
      <w:r w:rsidRPr="001F3B27">
        <w:rPr>
          <w:noProof/>
          <w:lang w:eastAsia="ru-RU"/>
        </w:rPr>
        <w:drawing>
          <wp:inline distT="0" distB="0" distL="0" distR="0" wp14:anchorId="31096F91" wp14:editId="545C2776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84C67E" w14:textId="585919D9" w:rsidR="00321157" w:rsidRPr="00937FEA" w:rsidRDefault="00321157" w:rsidP="00D03B42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 соответствии с утвержденным графиком проведения приема граждан должностными лицами администрации, в </w:t>
      </w:r>
      <w:r w:rsidR="00465D8B">
        <w:rPr>
          <w:rFonts w:ascii="Arial" w:hAnsi="Arial" w:cs="Arial"/>
          <w:i/>
        </w:rPr>
        <w:t>декабре</w:t>
      </w:r>
      <w:r>
        <w:rPr>
          <w:rFonts w:ascii="Arial" w:hAnsi="Arial" w:cs="Arial"/>
          <w:i/>
        </w:rPr>
        <w:t xml:space="preserve"> 2020 года на личном приеме принято </w:t>
      </w:r>
      <w:r w:rsidR="006665E2">
        <w:rPr>
          <w:rFonts w:ascii="Arial" w:hAnsi="Arial" w:cs="Arial"/>
          <w:i/>
        </w:rPr>
        <w:t>3</w:t>
      </w:r>
      <w:r w:rsidR="00465D8B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 xml:space="preserve"> граждан.</w:t>
      </w:r>
    </w:p>
    <w:sectPr w:rsidR="00321157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69F6"/>
    <w:rsid w:val="000251E8"/>
    <w:rsid w:val="00033CE6"/>
    <w:rsid w:val="0003635F"/>
    <w:rsid w:val="00037341"/>
    <w:rsid w:val="00052995"/>
    <w:rsid w:val="00053558"/>
    <w:rsid w:val="000616EF"/>
    <w:rsid w:val="00064551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A5C0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1F3B27"/>
    <w:rsid w:val="0021478F"/>
    <w:rsid w:val="0021575E"/>
    <w:rsid w:val="00221DD5"/>
    <w:rsid w:val="0022690A"/>
    <w:rsid w:val="00226FF3"/>
    <w:rsid w:val="00232F73"/>
    <w:rsid w:val="00241647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C6C78"/>
    <w:rsid w:val="002E6B02"/>
    <w:rsid w:val="002F2363"/>
    <w:rsid w:val="003038A8"/>
    <w:rsid w:val="003047C6"/>
    <w:rsid w:val="00311B2A"/>
    <w:rsid w:val="00311E67"/>
    <w:rsid w:val="003149A7"/>
    <w:rsid w:val="00321157"/>
    <w:rsid w:val="00321D1C"/>
    <w:rsid w:val="00324998"/>
    <w:rsid w:val="00332A5C"/>
    <w:rsid w:val="00346CA9"/>
    <w:rsid w:val="003513E6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D7485"/>
    <w:rsid w:val="003E0352"/>
    <w:rsid w:val="003E2F1B"/>
    <w:rsid w:val="003F2926"/>
    <w:rsid w:val="00401052"/>
    <w:rsid w:val="004070DA"/>
    <w:rsid w:val="004071F2"/>
    <w:rsid w:val="004237FF"/>
    <w:rsid w:val="004239AA"/>
    <w:rsid w:val="00434C8E"/>
    <w:rsid w:val="00442885"/>
    <w:rsid w:val="00452A21"/>
    <w:rsid w:val="00462142"/>
    <w:rsid w:val="00465D8B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0B3C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36054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6C25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5F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5E2"/>
    <w:rsid w:val="00666FC9"/>
    <w:rsid w:val="00676E37"/>
    <w:rsid w:val="00683390"/>
    <w:rsid w:val="00695372"/>
    <w:rsid w:val="00697EF8"/>
    <w:rsid w:val="006B6078"/>
    <w:rsid w:val="006C0BFA"/>
    <w:rsid w:val="006C1DD6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41836"/>
    <w:rsid w:val="00760B98"/>
    <w:rsid w:val="00770553"/>
    <w:rsid w:val="007723FB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7E7854"/>
    <w:rsid w:val="00800A3E"/>
    <w:rsid w:val="0080486C"/>
    <w:rsid w:val="008059A2"/>
    <w:rsid w:val="00806B4A"/>
    <w:rsid w:val="00807255"/>
    <w:rsid w:val="00810FFC"/>
    <w:rsid w:val="008134AC"/>
    <w:rsid w:val="00815736"/>
    <w:rsid w:val="008166D6"/>
    <w:rsid w:val="0081683A"/>
    <w:rsid w:val="008231EE"/>
    <w:rsid w:val="008305D4"/>
    <w:rsid w:val="00861EDD"/>
    <w:rsid w:val="00863E11"/>
    <w:rsid w:val="00865015"/>
    <w:rsid w:val="00866795"/>
    <w:rsid w:val="008827A5"/>
    <w:rsid w:val="00886839"/>
    <w:rsid w:val="008A0A78"/>
    <w:rsid w:val="008A72A0"/>
    <w:rsid w:val="008A7864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2F84"/>
    <w:rsid w:val="008F3CA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0EA0"/>
    <w:rsid w:val="009D390E"/>
    <w:rsid w:val="009E4B97"/>
    <w:rsid w:val="009E5898"/>
    <w:rsid w:val="009F02C2"/>
    <w:rsid w:val="00A00044"/>
    <w:rsid w:val="00A064CD"/>
    <w:rsid w:val="00A11292"/>
    <w:rsid w:val="00A144D0"/>
    <w:rsid w:val="00A26F7C"/>
    <w:rsid w:val="00A52F16"/>
    <w:rsid w:val="00A6233D"/>
    <w:rsid w:val="00A708FC"/>
    <w:rsid w:val="00A73F94"/>
    <w:rsid w:val="00A75926"/>
    <w:rsid w:val="00A760E9"/>
    <w:rsid w:val="00A85DFA"/>
    <w:rsid w:val="00A92387"/>
    <w:rsid w:val="00A92B36"/>
    <w:rsid w:val="00A97CE5"/>
    <w:rsid w:val="00AA086E"/>
    <w:rsid w:val="00AA5B21"/>
    <w:rsid w:val="00AA5D6D"/>
    <w:rsid w:val="00AA79E2"/>
    <w:rsid w:val="00AB11D6"/>
    <w:rsid w:val="00AB2A8F"/>
    <w:rsid w:val="00AC32D6"/>
    <w:rsid w:val="00AE47B3"/>
    <w:rsid w:val="00AF27E9"/>
    <w:rsid w:val="00AF6EBA"/>
    <w:rsid w:val="00B005B4"/>
    <w:rsid w:val="00B01661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044E"/>
    <w:rsid w:val="00BB2038"/>
    <w:rsid w:val="00BB438F"/>
    <w:rsid w:val="00BC0BD1"/>
    <w:rsid w:val="00BC4B8F"/>
    <w:rsid w:val="00BE332B"/>
    <w:rsid w:val="00BE4855"/>
    <w:rsid w:val="00BF6B48"/>
    <w:rsid w:val="00C113FA"/>
    <w:rsid w:val="00C124E3"/>
    <w:rsid w:val="00C16B97"/>
    <w:rsid w:val="00C5094A"/>
    <w:rsid w:val="00C51E15"/>
    <w:rsid w:val="00C52686"/>
    <w:rsid w:val="00C63A68"/>
    <w:rsid w:val="00C75F9A"/>
    <w:rsid w:val="00C7690F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CF78D3"/>
    <w:rsid w:val="00D013E7"/>
    <w:rsid w:val="00D03B42"/>
    <w:rsid w:val="00D04E47"/>
    <w:rsid w:val="00D04FBC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73CF0"/>
    <w:rsid w:val="00D812A8"/>
    <w:rsid w:val="00D85F25"/>
    <w:rsid w:val="00D97DB6"/>
    <w:rsid w:val="00DA0DA5"/>
    <w:rsid w:val="00DA211C"/>
    <w:rsid w:val="00DA6B3E"/>
    <w:rsid w:val="00DB756F"/>
    <w:rsid w:val="00DC14D8"/>
    <w:rsid w:val="00DC6876"/>
    <w:rsid w:val="00E0070A"/>
    <w:rsid w:val="00E0265D"/>
    <w:rsid w:val="00E074C0"/>
    <w:rsid w:val="00E137D4"/>
    <w:rsid w:val="00E21C1C"/>
    <w:rsid w:val="00E46EB3"/>
    <w:rsid w:val="00E47AD3"/>
    <w:rsid w:val="00E52A90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1688"/>
    <w:rsid w:val="00E974B2"/>
    <w:rsid w:val="00EB022B"/>
    <w:rsid w:val="00EB08FB"/>
    <w:rsid w:val="00EC02DE"/>
    <w:rsid w:val="00EC5B9F"/>
    <w:rsid w:val="00ED1444"/>
    <w:rsid w:val="00EE1B17"/>
    <w:rsid w:val="00EF02B4"/>
    <w:rsid w:val="00EF35D9"/>
    <w:rsid w:val="00F005E2"/>
    <w:rsid w:val="00F00CB4"/>
    <w:rsid w:val="00F00D8F"/>
    <w:rsid w:val="00F0218B"/>
    <w:rsid w:val="00F0730C"/>
    <w:rsid w:val="00F2403D"/>
    <w:rsid w:val="00F25EEE"/>
    <w:rsid w:val="00F26A64"/>
    <w:rsid w:val="00F27055"/>
    <w:rsid w:val="00F315A0"/>
    <w:rsid w:val="00F37734"/>
    <w:rsid w:val="00F43EE5"/>
    <w:rsid w:val="00F510AC"/>
    <w:rsid w:val="00F6066E"/>
    <w:rsid w:val="00F61203"/>
    <w:rsid w:val="00F643A3"/>
    <w:rsid w:val="00F87AF2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D77A5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CC62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618-4987-A00F-7B380D4B5A91}"/>
              </c:ext>
            </c:extLst>
          </c:dPt>
          <c:dPt>
            <c:idx val="1"/>
            <c:bubble3D val="0"/>
            <c:explosion val="13"/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618-4987-A00F-7B380D4B5A91}"/>
              </c:ext>
            </c:extLst>
          </c:dPt>
          <c:dPt>
            <c:idx val="2"/>
            <c:bubble3D val="0"/>
            <c:explosion val="16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618-4987-A00F-7B380D4B5A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FF8-46E7-A4FC-2B794D4B7C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FF8-46E7-A4FC-2B794D4B7C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CFF8-46E7-A4FC-2B794D4B7C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9525" cap="flat" cmpd="sng" algn="ctr">
                <a:solidFill>
                  <a:schemeClr val="accent1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5618-4987-A00F-7B380D4B5A9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CFF8-46E7-A4FC-2B794D4B7C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CFF8-46E7-A4FC-2B794D4B7CA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CFF8-46E7-A4FC-2B794D4B7CA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B4EA-4328-87E0-86B3CF572CF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AC23-4433-A031-32080B26EDA3}"/>
              </c:ext>
            </c:extLst>
          </c:dPt>
          <c:cat>
            <c:strRef>
              <c:f>Лист1!$A$2:$A$13</c:f>
              <c:strCache>
                <c:ptCount val="12"/>
                <c:pt idx="0">
                  <c:v>Управление ЖКХ и благоустройства - 29,6%</c:v>
                </c:pt>
                <c:pt idx="1">
                  <c:v>Управление земельно-имущественных отношений - 22,9%</c:v>
                </c:pt>
                <c:pt idx="2">
                  <c:v>Управление транспорта и организации дорожного движения - 6,5%</c:v>
                </c:pt>
                <c:pt idx="3">
                  <c:v>Управление градостроительного развития - 2,4%</c:v>
                </c:pt>
                <c:pt idx="4">
                  <c:v>Управление капитального строительства - 4,1%</c:v>
                </c:pt>
                <c:pt idx="5">
                  <c:v>Контрольное управление - 2,9%</c:v>
                </c:pt>
                <c:pt idx="6">
                  <c:v>Управление по социальной политике - 3,8%</c:v>
                </c:pt>
                <c:pt idx="7">
                  <c:v>Административная комиссия - 3,5%</c:v>
                </c:pt>
                <c:pt idx="8">
                  <c:v>Управление образования - 3,8%</c:v>
                </c:pt>
                <c:pt idx="9">
                  <c:v>Управление по регулированию тарифно-ценовой и налоговой политики - 2,9%</c:v>
                </c:pt>
                <c:pt idx="10">
                  <c:v>Управление потребительского рынка и услуг - 2,6%</c:v>
                </c:pt>
                <c:pt idx="11">
                  <c:v>Разное - 15,1%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29.614604462474645</c:v>
                </c:pt>
                <c:pt idx="1">
                  <c:v>22.920892494929006</c:v>
                </c:pt>
                <c:pt idx="2">
                  <c:v>6.4908722109533468</c:v>
                </c:pt>
                <c:pt idx="3">
                  <c:v>2.4340770791075053</c:v>
                </c:pt>
                <c:pt idx="4">
                  <c:v>4.056795131845842</c:v>
                </c:pt>
                <c:pt idx="5">
                  <c:v>2.9411764705882355</c:v>
                </c:pt>
                <c:pt idx="6">
                  <c:v>3.7525354969574036</c:v>
                </c:pt>
                <c:pt idx="7">
                  <c:v>3.5496957403651117</c:v>
                </c:pt>
                <c:pt idx="8">
                  <c:v>3.5496957403651117</c:v>
                </c:pt>
                <c:pt idx="9">
                  <c:v>2.9411764705882355</c:v>
                </c:pt>
                <c:pt idx="10">
                  <c:v>2.6369168356997972</c:v>
                </c:pt>
                <c:pt idx="11">
                  <c:v>15.111561866125761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618-4987-A00F-7B380D4B5A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CFF8-46E7-A4FC-2B794D4B7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CFF8-46E7-A4FC-2B794D4B7C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CFF8-46E7-A4FC-2B794D4B7C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B-CFF8-46E7-A4FC-2B794D4B7C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D-CFF8-46E7-A4FC-2B794D4B7C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F-CFF8-46E7-A4FC-2B794D4B7C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9525" cap="flat" cmpd="sng" algn="ctr">
                <a:solidFill>
                  <a:schemeClr val="accent1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1-CFF8-46E7-A4FC-2B794D4B7CA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3-CFF8-46E7-A4FC-2B794D4B7C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5-CFF8-46E7-A4FC-2B794D4B7CA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7-CFF8-46E7-A4FC-2B794D4B7CA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B-B4EA-4328-87E0-86B3CF572CF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F-AC23-4433-A031-32080B26EDA3}"/>
              </c:ext>
            </c:extLst>
          </c:dPt>
          <c:cat>
            <c:strRef>
              <c:f>Лист1!$A$2:$A$13</c:f>
              <c:strCache>
                <c:ptCount val="12"/>
                <c:pt idx="0">
                  <c:v>Управление ЖКХ и благоустройства - 29,6%</c:v>
                </c:pt>
                <c:pt idx="1">
                  <c:v>Управление земельно-имущественных отношений - 22,9%</c:v>
                </c:pt>
                <c:pt idx="2">
                  <c:v>Управление транспорта и организации дорожного движения - 6,5%</c:v>
                </c:pt>
                <c:pt idx="3">
                  <c:v>Управление градостроительного развития - 2,4%</c:v>
                </c:pt>
                <c:pt idx="4">
                  <c:v>Управление капитального строительства - 4,1%</c:v>
                </c:pt>
                <c:pt idx="5">
                  <c:v>Контрольное управление - 2,9%</c:v>
                </c:pt>
                <c:pt idx="6">
                  <c:v>Управление по социальной политике - 3,8%</c:v>
                </c:pt>
                <c:pt idx="7">
                  <c:v>Административная комиссия - 3,5%</c:v>
                </c:pt>
                <c:pt idx="8">
                  <c:v>Управление образования - 3,8%</c:v>
                </c:pt>
                <c:pt idx="9">
                  <c:v>Управление по регулированию тарифно-ценовой и налоговой политики - 2,9%</c:v>
                </c:pt>
                <c:pt idx="10">
                  <c:v>Управление потребительского рынка и услуг - 2,6%</c:v>
                </c:pt>
                <c:pt idx="11">
                  <c:v>Разное - 15,1%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292</c:v>
                </c:pt>
                <c:pt idx="1">
                  <c:v>226</c:v>
                </c:pt>
                <c:pt idx="2">
                  <c:v>64</c:v>
                </c:pt>
                <c:pt idx="3">
                  <c:v>24</c:v>
                </c:pt>
                <c:pt idx="4">
                  <c:v>40</c:v>
                </c:pt>
                <c:pt idx="5">
                  <c:v>29</c:v>
                </c:pt>
                <c:pt idx="6">
                  <c:v>37</c:v>
                </c:pt>
                <c:pt idx="7">
                  <c:v>35</c:v>
                </c:pt>
                <c:pt idx="8">
                  <c:v>35</c:v>
                </c:pt>
                <c:pt idx="9">
                  <c:v>29</c:v>
                </c:pt>
                <c:pt idx="10">
                  <c:v>26</c:v>
                </c:pt>
                <c:pt idx="11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18-4987-A00F-7B380D4B5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42185997910135847"/>
          <c:y val="1.2703291951206327E-2"/>
          <c:w val="0.54889228971770365"/>
          <c:h val="0.98572550856772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4764-D26D-4019-9174-D55C02D5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4</cp:revision>
  <cp:lastPrinted>2019-08-16T13:34:00Z</cp:lastPrinted>
  <dcterms:created xsi:type="dcterms:W3CDTF">2021-01-13T14:06:00Z</dcterms:created>
  <dcterms:modified xsi:type="dcterms:W3CDTF">2021-01-13T14:36:00Z</dcterms:modified>
</cp:coreProperties>
</file>